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73" w:rsidRPr="00624073" w:rsidRDefault="00624073" w:rsidP="00624073">
      <w:pPr>
        <w:pStyle w:val="NormalWeb"/>
        <w:rPr>
          <w:rFonts w:asciiTheme="minorHAnsi" w:hAnsiTheme="minorHAnsi"/>
          <w:color w:val="000000"/>
          <w:spacing w:val="4"/>
          <w:lang w:val="en"/>
        </w:rPr>
      </w:pPr>
      <w:r w:rsidRPr="00624073">
        <w:rPr>
          <w:rStyle w:val="Strong"/>
          <w:rFonts w:asciiTheme="minorHAnsi" w:hAnsiTheme="minorHAnsi"/>
          <w:color w:val="000000"/>
          <w:spacing w:val="4"/>
          <w:lang w:val="en"/>
        </w:rPr>
        <w:t>Applied Business Question</w:t>
      </w:r>
    </w:p>
    <w:p w:rsidR="00624073" w:rsidRPr="00624073" w:rsidRDefault="00624073" w:rsidP="00624073">
      <w:pPr>
        <w:pStyle w:val="NormalWeb"/>
        <w:rPr>
          <w:rFonts w:asciiTheme="minorHAnsi" w:hAnsiTheme="minorHAnsi"/>
          <w:color w:val="000000"/>
          <w:spacing w:val="4"/>
          <w:lang w:val="en"/>
        </w:rPr>
      </w:pPr>
      <w:r w:rsidRPr="00624073">
        <w:rPr>
          <w:rFonts w:asciiTheme="minorHAnsi" w:hAnsiTheme="minorHAnsi"/>
          <w:color w:val="000000"/>
          <w:spacing w:val="4"/>
          <w:lang w:val="en"/>
        </w:rPr>
        <w:t>The Applied Business Question is always asked in Section 2 of the Higher Level Business exam.  It is worth 80 marks.  No more than 35 minutes should be allocated to it.</w:t>
      </w:r>
    </w:p>
    <w:p w:rsidR="00624073" w:rsidRPr="00624073" w:rsidRDefault="00624073" w:rsidP="00624073">
      <w:pPr>
        <w:pStyle w:val="NormalWeb"/>
        <w:rPr>
          <w:rFonts w:asciiTheme="minorHAnsi" w:hAnsiTheme="minorHAnsi"/>
          <w:color w:val="000000"/>
          <w:spacing w:val="4"/>
          <w:lang w:val="en"/>
        </w:rPr>
      </w:pPr>
      <w:r w:rsidRPr="00624073">
        <w:rPr>
          <w:rFonts w:asciiTheme="minorHAnsi" w:hAnsiTheme="minorHAnsi"/>
          <w:color w:val="000000"/>
          <w:spacing w:val="4"/>
          <w:lang w:val="en"/>
        </w:rPr>
        <w:t>When answering the ABQ, students must always link their answer with what has been written in the passage.  Sometimes the question may read "refer to the above text in your answer" or "using examples from the above text".  Students must quote directly from the text using quotation marks to enclose the reference for each part of the question. </w:t>
      </w:r>
    </w:p>
    <w:p w:rsidR="00624073" w:rsidRPr="00624073" w:rsidRDefault="00624073" w:rsidP="00624073">
      <w:pPr>
        <w:pStyle w:val="NormalWeb"/>
        <w:rPr>
          <w:rFonts w:asciiTheme="minorHAnsi" w:hAnsiTheme="minorHAnsi"/>
          <w:color w:val="000000"/>
          <w:spacing w:val="4"/>
          <w:lang w:val="en"/>
        </w:rPr>
      </w:pPr>
      <w:r w:rsidRPr="00624073">
        <w:rPr>
          <w:rFonts w:asciiTheme="minorHAnsi" w:hAnsiTheme="minorHAnsi"/>
          <w:color w:val="000000"/>
          <w:spacing w:val="4"/>
          <w:lang w:val="en"/>
        </w:rPr>
        <w:t>It is essential to practice ABQs under exam conditions as students tend to go over the time on this section.  Allow no more than 35 minutes for the ABQ.  If you do not finish the ABQ within this time, leave space to return to it at the end of the examination.</w:t>
      </w:r>
    </w:p>
    <w:p w:rsidR="00624073" w:rsidRPr="00624073" w:rsidRDefault="00624073" w:rsidP="00624073">
      <w:pPr>
        <w:pStyle w:val="NormalWeb"/>
        <w:rPr>
          <w:rFonts w:asciiTheme="minorHAnsi" w:hAnsiTheme="minorHAnsi"/>
          <w:color w:val="000000"/>
          <w:spacing w:val="4"/>
          <w:lang w:val="en"/>
        </w:rPr>
      </w:pPr>
      <w:r w:rsidRPr="00624073">
        <w:rPr>
          <w:rFonts w:asciiTheme="minorHAnsi" w:hAnsiTheme="minorHAnsi"/>
          <w:color w:val="000000"/>
          <w:spacing w:val="4"/>
          <w:lang w:val="en"/>
        </w:rPr>
        <w:t>Past ABQ questions from each of the Units are available by clicking on the links below:</w:t>
      </w:r>
    </w:p>
    <w:p w:rsidR="00624073" w:rsidRPr="00624073" w:rsidRDefault="008F7043" w:rsidP="00624073">
      <w:pPr>
        <w:pStyle w:val="NormalWeb"/>
        <w:rPr>
          <w:rFonts w:asciiTheme="minorHAnsi" w:hAnsiTheme="minorHAnsi"/>
          <w:color w:val="000000"/>
          <w:spacing w:val="4"/>
          <w:lang w:val="en"/>
        </w:rPr>
      </w:pPr>
      <w:hyperlink r:id="rId5" w:history="1">
        <w:r w:rsidR="00624073" w:rsidRPr="00624073">
          <w:rPr>
            <w:rFonts w:asciiTheme="minorHAnsi" w:hAnsiTheme="minorHAnsi"/>
            <w:b/>
            <w:bCs/>
            <w:color w:val="205F93"/>
            <w:spacing w:val="4"/>
            <w:u w:val="single"/>
            <w:lang w:val="en"/>
          </w:rPr>
          <w:t>http://pdst.ie/sites/default/files/ABQs%20for%20567.pdf</w:t>
        </w:r>
      </w:hyperlink>
    </w:p>
    <w:p w:rsidR="008F7043" w:rsidRDefault="008F7043" w:rsidP="008F7043">
      <w:pPr>
        <w:pStyle w:val="NormalWeb"/>
        <w:spacing w:before="0" w:after="0"/>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01"/>
        <w:gridCol w:w="1803"/>
        <w:gridCol w:w="1804"/>
        <w:gridCol w:w="1804"/>
      </w:tblGrid>
      <w:tr w:rsidR="008F7043" w:rsidRPr="004C4F19" w:rsidTr="00784847">
        <w:trPr>
          <w:jc w:val="center"/>
        </w:trPr>
        <w:tc>
          <w:tcPr>
            <w:tcW w:w="1848" w:type="dxa"/>
            <w:shd w:val="clear" w:color="auto" w:fill="auto"/>
          </w:tcPr>
          <w:p w:rsidR="008F7043" w:rsidRPr="004C4F19" w:rsidRDefault="008F7043" w:rsidP="00784847">
            <w:pPr>
              <w:pStyle w:val="NormalWeb"/>
              <w:spacing w:before="0" w:after="0"/>
              <w:jc w:val="center"/>
              <w:rPr>
                <w:i/>
              </w:rPr>
            </w:pPr>
            <w:r w:rsidRPr="004C4F19">
              <w:rPr>
                <w:i/>
              </w:rPr>
              <w:t>Units 1, 2 &amp; 3</w:t>
            </w:r>
          </w:p>
        </w:tc>
        <w:tc>
          <w:tcPr>
            <w:tcW w:w="1848" w:type="dxa"/>
            <w:shd w:val="clear" w:color="auto" w:fill="auto"/>
          </w:tcPr>
          <w:p w:rsidR="008F7043" w:rsidRPr="004C4F19" w:rsidRDefault="008F7043" w:rsidP="00784847">
            <w:pPr>
              <w:pStyle w:val="NormalWeb"/>
              <w:spacing w:before="0" w:after="0"/>
              <w:jc w:val="center"/>
              <w:rPr>
                <w:i/>
              </w:rPr>
            </w:pPr>
            <w:r w:rsidRPr="004C4F19">
              <w:rPr>
                <w:i/>
              </w:rPr>
              <w:t>Unit 2, 3 &amp; 4</w:t>
            </w:r>
          </w:p>
        </w:tc>
        <w:tc>
          <w:tcPr>
            <w:tcW w:w="1848" w:type="dxa"/>
            <w:shd w:val="clear" w:color="auto" w:fill="auto"/>
          </w:tcPr>
          <w:p w:rsidR="008F7043" w:rsidRPr="004C4F19" w:rsidRDefault="008F7043" w:rsidP="00784847">
            <w:pPr>
              <w:pStyle w:val="NormalWeb"/>
              <w:spacing w:before="0" w:after="0"/>
              <w:jc w:val="center"/>
              <w:rPr>
                <w:i/>
              </w:rPr>
            </w:pPr>
            <w:r w:rsidRPr="004C4F19">
              <w:rPr>
                <w:i/>
              </w:rPr>
              <w:t>Units 3, 4 &amp; 5</w:t>
            </w:r>
          </w:p>
        </w:tc>
        <w:tc>
          <w:tcPr>
            <w:tcW w:w="1849" w:type="dxa"/>
            <w:shd w:val="clear" w:color="auto" w:fill="auto"/>
          </w:tcPr>
          <w:p w:rsidR="008F7043" w:rsidRPr="004C4F19" w:rsidRDefault="008F7043" w:rsidP="00784847">
            <w:pPr>
              <w:pStyle w:val="NormalWeb"/>
              <w:spacing w:before="0" w:after="0"/>
              <w:jc w:val="center"/>
              <w:rPr>
                <w:i/>
              </w:rPr>
            </w:pPr>
            <w:r w:rsidRPr="004C4F19">
              <w:rPr>
                <w:i/>
              </w:rPr>
              <w:t>Units 4, 5 &amp; 6</w:t>
            </w:r>
          </w:p>
        </w:tc>
        <w:tc>
          <w:tcPr>
            <w:tcW w:w="1849" w:type="dxa"/>
            <w:shd w:val="clear" w:color="auto" w:fill="auto"/>
          </w:tcPr>
          <w:p w:rsidR="008F7043" w:rsidRPr="004C4F19" w:rsidRDefault="008F7043" w:rsidP="00784847">
            <w:pPr>
              <w:pStyle w:val="NormalWeb"/>
              <w:spacing w:before="0" w:after="0"/>
              <w:jc w:val="center"/>
              <w:rPr>
                <w:i/>
              </w:rPr>
            </w:pPr>
            <w:r w:rsidRPr="004C4F19">
              <w:rPr>
                <w:i/>
              </w:rPr>
              <w:t>Units 5, 6 &amp; 7</w:t>
            </w:r>
          </w:p>
        </w:tc>
      </w:tr>
      <w:tr w:rsidR="008F7043" w:rsidTr="00784847">
        <w:trPr>
          <w:jc w:val="center"/>
        </w:trPr>
        <w:tc>
          <w:tcPr>
            <w:tcW w:w="1848" w:type="dxa"/>
            <w:shd w:val="clear" w:color="auto" w:fill="auto"/>
          </w:tcPr>
          <w:p w:rsidR="008F7043" w:rsidRDefault="008F7043" w:rsidP="00784847">
            <w:pPr>
              <w:pStyle w:val="NormalWeb"/>
              <w:spacing w:before="0" w:after="0"/>
              <w:jc w:val="center"/>
            </w:pPr>
            <w:r>
              <w:t>2014</w:t>
            </w:r>
          </w:p>
        </w:tc>
        <w:tc>
          <w:tcPr>
            <w:tcW w:w="1848" w:type="dxa"/>
            <w:shd w:val="clear" w:color="auto" w:fill="auto"/>
          </w:tcPr>
          <w:p w:rsidR="008F7043" w:rsidRDefault="008F7043" w:rsidP="00784847">
            <w:pPr>
              <w:pStyle w:val="NormalWeb"/>
              <w:spacing w:before="0" w:after="0"/>
              <w:jc w:val="center"/>
            </w:pPr>
            <w:r>
              <w:t>2015</w:t>
            </w:r>
          </w:p>
        </w:tc>
        <w:tc>
          <w:tcPr>
            <w:tcW w:w="1848" w:type="dxa"/>
            <w:shd w:val="clear" w:color="auto" w:fill="auto"/>
          </w:tcPr>
          <w:p w:rsidR="008F7043" w:rsidRDefault="008F7043" w:rsidP="00784847">
            <w:pPr>
              <w:pStyle w:val="NormalWeb"/>
              <w:spacing w:before="0" w:after="0"/>
              <w:jc w:val="center"/>
            </w:pPr>
            <w:r>
              <w:t>2016</w:t>
            </w:r>
          </w:p>
        </w:tc>
        <w:tc>
          <w:tcPr>
            <w:tcW w:w="1849" w:type="dxa"/>
            <w:shd w:val="clear" w:color="auto" w:fill="auto"/>
          </w:tcPr>
          <w:p w:rsidR="008F7043" w:rsidRDefault="008F7043" w:rsidP="00784847">
            <w:pPr>
              <w:pStyle w:val="NormalWeb"/>
              <w:spacing w:before="0" w:after="0"/>
              <w:jc w:val="center"/>
            </w:pPr>
            <w:r>
              <w:t>2017</w:t>
            </w:r>
          </w:p>
        </w:tc>
        <w:tc>
          <w:tcPr>
            <w:tcW w:w="1849" w:type="dxa"/>
            <w:shd w:val="clear" w:color="auto" w:fill="auto"/>
          </w:tcPr>
          <w:p w:rsidR="008F7043" w:rsidRDefault="008F7043" w:rsidP="00784847">
            <w:pPr>
              <w:pStyle w:val="NormalWeb"/>
              <w:spacing w:before="0" w:after="0"/>
              <w:jc w:val="center"/>
            </w:pPr>
            <w:r>
              <w:t>2013</w:t>
            </w:r>
          </w:p>
        </w:tc>
      </w:tr>
      <w:tr w:rsidR="008F7043" w:rsidTr="00784847">
        <w:trPr>
          <w:jc w:val="center"/>
        </w:trPr>
        <w:tc>
          <w:tcPr>
            <w:tcW w:w="1848" w:type="dxa"/>
            <w:shd w:val="clear" w:color="auto" w:fill="auto"/>
          </w:tcPr>
          <w:p w:rsidR="008F7043" w:rsidRDefault="008F7043" w:rsidP="00784847">
            <w:pPr>
              <w:pStyle w:val="NormalWeb"/>
              <w:spacing w:before="0" w:after="0"/>
              <w:jc w:val="center"/>
            </w:pPr>
            <w:r>
              <w:t>2019</w:t>
            </w:r>
          </w:p>
        </w:tc>
        <w:tc>
          <w:tcPr>
            <w:tcW w:w="1848" w:type="dxa"/>
            <w:shd w:val="clear" w:color="auto" w:fill="auto"/>
          </w:tcPr>
          <w:p w:rsidR="008F7043" w:rsidRDefault="008F7043" w:rsidP="00784847">
            <w:pPr>
              <w:pStyle w:val="NormalWeb"/>
              <w:spacing w:before="0" w:after="0"/>
              <w:jc w:val="center"/>
            </w:pPr>
            <w:r>
              <w:t>2020</w:t>
            </w:r>
          </w:p>
        </w:tc>
        <w:tc>
          <w:tcPr>
            <w:tcW w:w="1848" w:type="dxa"/>
            <w:shd w:val="clear" w:color="auto" w:fill="auto"/>
          </w:tcPr>
          <w:p w:rsidR="008F7043" w:rsidRDefault="008F7043" w:rsidP="00784847">
            <w:pPr>
              <w:pStyle w:val="NormalWeb"/>
              <w:spacing w:before="0" w:after="0"/>
              <w:jc w:val="center"/>
            </w:pPr>
            <w:r>
              <w:t>2021</w:t>
            </w:r>
          </w:p>
        </w:tc>
        <w:tc>
          <w:tcPr>
            <w:tcW w:w="1849" w:type="dxa"/>
            <w:shd w:val="clear" w:color="auto" w:fill="auto"/>
          </w:tcPr>
          <w:p w:rsidR="008F7043" w:rsidRDefault="008F7043" w:rsidP="00784847">
            <w:pPr>
              <w:pStyle w:val="NormalWeb"/>
              <w:spacing w:before="0" w:after="0"/>
              <w:jc w:val="center"/>
            </w:pPr>
            <w:r>
              <w:t>2022</w:t>
            </w:r>
          </w:p>
        </w:tc>
        <w:tc>
          <w:tcPr>
            <w:tcW w:w="1849" w:type="dxa"/>
            <w:shd w:val="clear" w:color="auto" w:fill="auto"/>
          </w:tcPr>
          <w:p w:rsidR="008F7043" w:rsidRDefault="008F7043" w:rsidP="00784847">
            <w:pPr>
              <w:pStyle w:val="NormalWeb"/>
              <w:spacing w:before="0" w:after="0"/>
              <w:jc w:val="center"/>
            </w:pPr>
            <w:r>
              <w:t>2018</w:t>
            </w:r>
          </w:p>
        </w:tc>
      </w:tr>
    </w:tbl>
    <w:p w:rsidR="008F7043" w:rsidRDefault="008F7043" w:rsidP="008F7043">
      <w:pPr>
        <w:pStyle w:val="NormalWeb"/>
        <w:spacing w:before="0" w:after="0"/>
        <w:ind w:left="360"/>
      </w:pPr>
    </w:p>
    <w:p w:rsidR="008F7043" w:rsidRDefault="008F7043" w:rsidP="008F7043">
      <w:pPr>
        <w:pStyle w:val="NormalWeb"/>
        <w:spacing w:before="0" w:after="0"/>
        <w:ind w:left="360"/>
      </w:pPr>
      <w:r>
        <w:tab/>
      </w:r>
      <w:bookmarkStart w:id="0" w:name="_GoBack"/>
      <w:bookmarkEnd w:id="0"/>
    </w:p>
    <w:p w:rsidR="00612C96" w:rsidRDefault="00612C96"/>
    <w:sectPr w:rsidR="00612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CC3"/>
    <w:multiLevelType w:val="hybridMultilevel"/>
    <w:tmpl w:val="D34EE0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22530DD5"/>
    <w:multiLevelType w:val="hybridMultilevel"/>
    <w:tmpl w:val="F23C73F4"/>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4602726A"/>
    <w:multiLevelType w:val="hybridMultilevel"/>
    <w:tmpl w:val="8BEC7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F592FE3"/>
    <w:multiLevelType w:val="hybridMultilevel"/>
    <w:tmpl w:val="90E04A7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73"/>
    <w:rsid w:val="00612C96"/>
    <w:rsid w:val="00624073"/>
    <w:rsid w:val="007B65C8"/>
    <w:rsid w:val="008F70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A26A3-923B-4646-B59A-87DAEF7E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4073"/>
    <w:rPr>
      <w:b/>
      <w:bCs/>
    </w:rPr>
  </w:style>
  <w:style w:type="paragraph" w:styleId="NormalWeb">
    <w:name w:val="Normal (Web)"/>
    <w:basedOn w:val="Normal"/>
    <w:unhideWhenUsed/>
    <w:rsid w:val="00624073"/>
    <w:pPr>
      <w:spacing w:before="240" w:after="24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79823">
      <w:bodyDiv w:val="1"/>
      <w:marLeft w:val="0"/>
      <w:marRight w:val="0"/>
      <w:marTop w:val="0"/>
      <w:marBottom w:val="0"/>
      <w:divBdr>
        <w:top w:val="none" w:sz="0" w:space="0" w:color="auto"/>
        <w:left w:val="none" w:sz="0" w:space="0" w:color="auto"/>
        <w:bottom w:val="none" w:sz="0" w:space="0" w:color="auto"/>
        <w:right w:val="none" w:sz="0" w:space="0" w:color="auto"/>
      </w:divBdr>
      <w:divsChild>
        <w:div w:id="747920521">
          <w:marLeft w:val="0"/>
          <w:marRight w:val="0"/>
          <w:marTop w:val="0"/>
          <w:marBottom w:val="0"/>
          <w:divBdr>
            <w:top w:val="none" w:sz="0" w:space="0" w:color="auto"/>
            <w:left w:val="none" w:sz="0" w:space="0" w:color="auto"/>
            <w:bottom w:val="none" w:sz="0" w:space="0" w:color="auto"/>
            <w:right w:val="none" w:sz="0" w:space="0" w:color="auto"/>
          </w:divBdr>
          <w:divsChild>
            <w:div w:id="566721345">
              <w:marLeft w:val="0"/>
              <w:marRight w:val="0"/>
              <w:marTop w:val="0"/>
              <w:marBottom w:val="0"/>
              <w:divBdr>
                <w:top w:val="none" w:sz="0" w:space="0" w:color="auto"/>
                <w:left w:val="none" w:sz="0" w:space="0" w:color="auto"/>
                <w:bottom w:val="none" w:sz="0" w:space="0" w:color="auto"/>
                <w:right w:val="none" w:sz="0" w:space="0" w:color="auto"/>
              </w:divBdr>
              <w:divsChild>
                <w:div w:id="1559171871">
                  <w:marLeft w:val="0"/>
                  <w:marRight w:val="0"/>
                  <w:marTop w:val="0"/>
                  <w:marBottom w:val="0"/>
                  <w:divBdr>
                    <w:top w:val="none" w:sz="0" w:space="0" w:color="auto"/>
                    <w:left w:val="none" w:sz="0" w:space="0" w:color="auto"/>
                    <w:bottom w:val="none" w:sz="0" w:space="0" w:color="auto"/>
                    <w:right w:val="none" w:sz="0" w:space="0" w:color="auto"/>
                  </w:divBdr>
                  <w:divsChild>
                    <w:div w:id="709115717">
                      <w:marLeft w:val="0"/>
                      <w:marRight w:val="0"/>
                      <w:marTop w:val="0"/>
                      <w:marBottom w:val="0"/>
                      <w:divBdr>
                        <w:top w:val="none" w:sz="0" w:space="0" w:color="auto"/>
                        <w:left w:val="none" w:sz="0" w:space="0" w:color="auto"/>
                        <w:bottom w:val="none" w:sz="0" w:space="0" w:color="auto"/>
                        <w:right w:val="none" w:sz="0" w:space="0" w:color="auto"/>
                      </w:divBdr>
                      <w:divsChild>
                        <w:div w:id="739251436">
                          <w:marLeft w:val="0"/>
                          <w:marRight w:val="0"/>
                          <w:marTop w:val="0"/>
                          <w:marBottom w:val="0"/>
                          <w:divBdr>
                            <w:top w:val="none" w:sz="0" w:space="0" w:color="auto"/>
                            <w:left w:val="none" w:sz="0" w:space="0" w:color="auto"/>
                            <w:bottom w:val="none" w:sz="0" w:space="0" w:color="auto"/>
                            <w:right w:val="none" w:sz="0" w:space="0" w:color="auto"/>
                          </w:divBdr>
                          <w:divsChild>
                            <w:div w:id="1297641858">
                              <w:marLeft w:val="0"/>
                              <w:marRight w:val="0"/>
                              <w:marTop w:val="0"/>
                              <w:marBottom w:val="0"/>
                              <w:divBdr>
                                <w:top w:val="none" w:sz="0" w:space="0" w:color="auto"/>
                                <w:left w:val="none" w:sz="0" w:space="0" w:color="auto"/>
                                <w:bottom w:val="none" w:sz="0" w:space="0" w:color="auto"/>
                                <w:right w:val="none" w:sz="0" w:space="0" w:color="auto"/>
                              </w:divBdr>
                              <w:divsChild>
                                <w:div w:id="1905136473">
                                  <w:marLeft w:val="0"/>
                                  <w:marRight w:val="0"/>
                                  <w:marTop w:val="0"/>
                                  <w:marBottom w:val="0"/>
                                  <w:divBdr>
                                    <w:top w:val="none" w:sz="0" w:space="0" w:color="auto"/>
                                    <w:left w:val="none" w:sz="0" w:space="0" w:color="auto"/>
                                    <w:bottom w:val="none" w:sz="0" w:space="0" w:color="auto"/>
                                    <w:right w:val="none" w:sz="0" w:space="0" w:color="auto"/>
                                  </w:divBdr>
                                  <w:divsChild>
                                    <w:div w:id="2063291451">
                                      <w:marLeft w:val="0"/>
                                      <w:marRight w:val="0"/>
                                      <w:marTop w:val="0"/>
                                      <w:marBottom w:val="0"/>
                                      <w:divBdr>
                                        <w:top w:val="none" w:sz="0" w:space="0" w:color="auto"/>
                                        <w:left w:val="none" w:sz="0" w:space="0" w:color="auto"/>
                                        <w:bottom w:val="none" w:sz="0" w:space="0" w:color="auto"/>
                                        <w:right w:val="none" w:sz="0" w:space="0" w:color="auto"/>
                                      </w:divBdr>
                                      <w:divsChild>
                                        <w:div w:id="85461663">
                                          <w:marLeft w:val="0"/>
                                          <w:marRight w:val="0"/>
                                          <w:marTop w:val="0"/>
                                          <w:marBottom w:val="0"/>
                                          <w:divBdr>
                                            <w:top w:val="none" w:sz="0" w:space="0" w:color="auto"/>
                                            <w:left w:val="none" w:sz="0" w:space="0" w:color="auto"/>
                                            <w:bottom w:val="none" w:sz="0" w:space="0" w:color="auto"/>
                                            <w:right w:val="none" w:sz="0" w:space="0" w:color="auto"/>
                                          </w:divBdr>
                                          <w:divsChild>
                                            <w:div w:id="2109347024">
                                              <w:marLeft w:val="0"/>
                                              <w:marRight w:val="0"/>
                                              <w:marTop w:val="0"/>
                                              <w:marBottom w:val="0"/>
                                              <w:divBdr>
                                                <w:top w:val="none" w:sz="0" w:space="0" w:color="auto"/>
                                                <w:left w:val="none" w:sz="0" w:space="0" w:color="auto"/>
                                                <w:bottom w:val="none" w:sz="0" w:space="0" w:color="auto"/>
                                                <w:right w:val="none" w:sz="0" w:space="0" w:color="auto"/>
                                              </w:divBdr>
                                              <w:divsChild>
                                                <w:div w:id="63912677">
                                                  <w:marLeft w:val="0"/>
                                                  <w:marRight w:val="0"/>
                                                  <w:marTop w:val="0"/>
                                                  <w:marBottom w:val="150"/>
                                                  <w:divBdr>
                                                    <w:top w:val="none" w:sz="0" w:space="0" w:color="auto"/>
                                                    <w:left w:val="none" w:sz="0" w:space="0" w:color="auto"/>
                                                    <w:bottom w:val="single" w:sz="6" w:space="0" w:color="CCCCCC"/>
                                                    <w:right w:val="none" w:sz="0" w:space="0" w:color="auto"/>
                                                  </w:divBdr>
                                                  <w:divsChild>
                                                    <w:div w:id="720250339">
                                                      <w:marLeft w:val="0"/>
                                                      <w:marRight w:val="0"/>
                                                      <w:marTop w:val="0"/>
                                                      <w:marBottom w:val="0"/>
                                                      <w:divBdr>
                                                        <w:top w:val="none" w:sz="0" w:space="0" w:color="auto"/>
                                                        <w:left w:val="none" w:sz="0" w:space="0" w:color="auto"/>
                                                        <w:bottom w:val="none" w:sz="0" w:space="0" w:color="auto"/>
                                                        <w:right w:val="none" w:sz="0" w:space="0" w:color="auto"/>
                                                      </w:divBdr>
                                                      <w:divsChild>
                                                        <w:div w:id="1172573820">
                                                          <w:marLeft w:val="0"/>
                                                          <w:marRight w:val="0"/>
                                                          <w:marTop w:val="0"/>
                                                          <w:marBottom w:val="0"/>
                                                          <w:divBdr>
                                                            <w:top w:val="none" w:sz="0" w:space="0" w:color="auto"/>
                                                            <w:left w:val="none" w:sz="0" w:space="0" w:color="auto"/>
                                                            <w:bottom w:val="none" w:sz="0" w:space="0" w:color="auto"/>
                                                            <w:right w:val="none" w:sz="0" w:space="0" w:color="auto"/>
                                                          </w:divBdr>
                                                          <w:divsChild>
                                                            <w:div w:id="302587297">
                                                              <w:marLeft w:val="0"/>
                                                              <w:marRight w:val="0"/>
                                                              <w:marTop w:val="0"/>
                                                              <w:marBottom w:val="0"/>
                                                              <w:divBdr>
                                                                <w:top w:val="none" w:sz="0" w:space="0" w:color="auto"/>
                                                                <w:left w:val="none" w:sz="0" w:space="0" w:color="auto"/>
                                                                <w:bottom w:val="none" w:sz="0" w:space="0" w:color="auto"/>
                                                                <w:right w:val="none" w:sz="0" w:space="0" w:color="auto"/>
                                                              </w:divBdr>
                                                              <w:divsChild>
                                                                <w:div w:id="14307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dst.ie/node/%3Ca%20hr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Donnelly</dc:creator>
  <cp:keywords/>
  <dc:description/>
  <cp:lastModifiedBy>William Donnelly</cp:lastModifiedBy>
  <cp:revision>2</cp:revision>
  <dcterms:created xsi:type="dcterms:W3CDTF">2015-08-31T10:01:00Z</dcterms:created>
  <dcterms:modified xsi:type="dcterms:W3CDTF">2015-08-31T10:01:00Z</dcterms:modified>
</cp:coreProperties>
</file>